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sz w:val="44"/>
          <w:szCs w:val="44"/>
        </w:rPr>
      </w:pPr>
      <w:bookmarkStart w:id="0" w:name="_GoBack"/>
      <w:bookmarkEnd w:id="0"/>
    </w:p>
    <w:p>
      <w:pPr>
        <w:spacing w:line="600" w:lineRule="exact"/>
        <w:jc w:val="center"/>
        <w:rPr>
          <w:rFonts w:hint="eastAsia" w:ascii="宋体" w:hAnsi="宋体"/>
          <w:b/>
          <w:sz w:val="52"/>
          <w:szCs w:val="44"/>
        </w:rPr>
      </w:pPr>
    </w:p>
    <w:p>
      <w:pPr>
        <w:spacing w:line="540" w:lineRule="exact"/>
        <w:jc w:val="center"/>
        <w:rPr>
          <w:rFonts w:hint="eastAsia" w:ascii="宋体" w:hAnsi="宋体"/>
          <w:b/>
          <w:sz w:val="52"/>
          <w:szCs w:val="44"/>
        </w:rPr>
      </w:pPr>
    </w:p>
    <w:p>
      <w:pPr>
        <w:spacing w:line="20" w:lineRule="exact"/>
        <w:jc w:val="center"/>
        <w:rPr>
          <w:rFonts w:hint="eastAsia" w:ascii="宋体" w:hAnsi="宋体"/>
          <w:b/>
          <w:sz w:val="44"/>
          <w:szCs w:val="44"/>
        </w:rPr>
      </w:pPr>
    </w:p>
    <w:p>
      <w:pPr>
        <w:spacing w:line="20" w:lineRule="exact"/>
        <w:jc w:val="center"/>
        <w:rPr>
          <w:rFonts w:hint="eastAsia" w:ascii="宋体" w:hAnsi="宋体"/>
          <w:b/>
          <w:sz w:val="44"/>
          <w:szCs w:val="44"/>
        </w:rPr>
      </w:pPr>
    </w:p>
    <w:p>
      <w:pPr>
        <w:jc w:val="center"/>
        <w:rPr>
          <w:rFonts w:hint="eastAsia" w:ascii="宋体" w:hAnsi="宋体"/>
          <w:b/>
          <w:bCs/>
          <w:color w:val="FF0000"/>
          <w:spacing w:val="227"/>
          <w:sz w:val="68"/>
          <w:szCs w:val="44"/>
        </w:rPr>
      </w:pPr>
      <w:r>
        <w:rPr>
          <w:rFonts w:hint="eastAsia" w:ascii="宋体" w:hAnsi="宋体"/>
          <w:b/>
          <w:bCs/>
          <w:color w:val="FF0000"/>
          <w:spacing w:val="227"/>
          <w:sz w:val="68"/>
          <w:szCs w:val="44"/>
        </w:rPr>
        <w:pict>
          <v:shape id="_x0000_i1025" o:spt="136" type="#_x0000_t136" style="height:60pt;width:359.9pt;" fillcolor="#FF0000" filled="t" stroked="t" coordsize="21600,21600" adj="10800">
            <v:path/>
            <v:fill on="t" color2="#FFFFFF" focussize="0,0"/>
            <v:stroke color="#FF0000"/>
            <v:imagedata o:title=""/>
            <o:lock v:ext="edit" aspectratio="f"/>
            <v:textpath on="t" fitshape="t" fitpath="t" trim="t" xscale="f" string="海南省住房公积金管理局文件" style="font-family:方正小标宋_GBK;font-size:42pt;font-weight:bold;v-text-align:center;v-text-spacing:78643f;"/>
            <w10:wrap type="none"/>
            <w10:anchorlock/>
          </v:shape>
        </w:pict>
      </w:r>
    </w:p>
    <w:p>
      <w:pPr>
        <w:widowControl/>
        <w:autoSpaceDE w:val="0"/>
        <w:spacing w:line="140" w:lineRule="exact"/>
        <w:ind w:firstLine="645"/>
        <w:outlineLvl w:val="0"/>
        <w:rPr>
          <w:rFonts w:hint="eastAsia" w:hAnsi="Arial Unicode MS" w:cs="Helvetica"/>
          <w:color w:val="000000"/>
          <w:sz w:val="30"/>
          <w:szCs w:val="32"/>
        </w:rPr>
      </w:pPr>
      <w:r>
        <w:rPr>
          <w:rFonts w:hint="eastAsia" w:hAnsi="Arial Unicode MS" w:cs="Helvetica"/>
          <w:color w:val="000000"/>
          <w:sz w:val="30"/>
          <w:szCs w:val="32"/>
        </w:rPr>
        <w:t xml:space="preserve">  </w:t>
      </w:r>
    </w:p>
    <w:p>
      <w:pPr>
        <w:widowControl/>
        <w:autoSpaceDE w:val="0"/>
        <w:spacing w:line="600" w:lineRule="exact"/>
        <w:ind w:firstLine="645"/>
        <w:outlineLvl w:val="0"/>
        <w:rPr>
          <w:rFonts w:hint="eastAsia" w:hAnsi="Arial Unicode MS" w:cs="Helvetica"/>
          <w:color w:val="000000"/>
          <w:sz w:val="30"/>
          <w:szCs w:val="32"/>
        </w:rPr>
      </w:pPr>
    </w:p>
    <w:p>
      <w:pPr>
        <w:widowControl/>
        <w:autoSpaceDE w:val="0"/>
        <w:spacing w:line="560" w:lineRule="exact"/>
        <w:jc w:val="center"/>
        <w:outlineLvl w:val="0"/>
        <w:rPr>
          <w:rFonts w:hint="eastAsia" w:ascii="仿宋_GB2312" w:hAnsi="仿宋_GB2312" w:eastAsia="仿宋_GB2312" w:cs="仿宋_GB2312"/>
          <w:color w:val="FFFFFF"/>
          <w:sz w:val="30"/>
          <w:szCs w:val="32"/>
        </w:rPr>
      </w:pPr>
      <w:r>
        <w:rPr>
          <w:rFonts w:hint="eastAsia" w:ascii="仿宋_GB2312" w:hAnsi="仿宋_GB2312" w:eastAsia="仿宋_GB2312" w:cs="仿宋_GB2312"/>
          <w:sz w:val="32"/>
          <w:szCs w:val="32"/>
        </w:rPr>
        <w:t>琼公积金</w:t>
      </w:r>
      <w:r>
        <w:rPr>
          <w:rFonts w:hint="eastAsia" w:ascii="仿宋_GB2312" w:hAnsi="仿宋_GB2312" w:eastAsia="仿宋_GB2312" w:cs="仿宋_GB2312"/>
          <w:sz w:val="32"/>
          <w:szCs w:val="32"/>
          <w:lang w:eastAsia="zh-CN"/>
        </w:rPr>
        <w:t>贷</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号</w:t>
      </w:r>
    </w:p>
    <w:p>
      <w:pPr>
        <w:widowControl/>
        <w:autoSpaceDE w:val="0"/>
        <w:spacing w:line="520" w:lineRule="exact"/>
        <w:ind w:firstLine="645"/>
        <w:outlineLvl w:val="0"/>
        <w:rPr>
          <w:spacing w:val="211"/>
          <w:sz w:val="80"/>
        </w:rPr>
      </w:pPr>
      <w:r>
        <w:rPr>
          <w:spacing w:val="211"/>
          <w:sz w:val="8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124460</wp:posOffset>
                </wp:positionV>
                <wp:extent cx="5600700" cy="0"/>
                <wp:effectExtent l="0" t="0" r="0" b="0"/>
                <wp:wrapNone/>
                <wp:docPr id="1" name="直线 4"/>
                <wp:cNvGraphicFramePr/>
                <a:graphic xmlns:a="http://schemas.openxmlformats.org/drawingml/2006/main">
                  <a:graphicData uri="http://schemas.microsoft.com/office/word/2010/wordprocessingShape">
                    <wps:wsp>
                      <wps:cNvSpPr/>
                      <wps:spPr>
                        <a:xfrm>
                          <a:off x="0" y="0"/>
                          <a:ext cx="5600700" cy="0"/>
                        </a:xfrm>
                        <a:prstGeom prst="line">
                          <a:avLst/>
                        </a:prstGeom>
                        <a:ln w="15875" cap="flat" cmpd="sng">
                          <a:solidFill>
                            <a:srgbClr val="FF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9pt;margin-top:9.8pt;height:0pt;width:441pt;z-index:251658240;mso-width-relative:page;mso-height-relative:page;" filled="f" stroked="t" coordsize="21600,21600" o:gfxdata="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TWr5F1gAA&#10;AAkBAAAPAAAAAAAAAAEAIAAAADgAAABkcnMvZG93bnJldi54bWxQSwECFAAUAAAACACHTuJAqIEQ&#10;/NEBAACRAwAADgAAAAAAAAABACAAAAA7AQAAZHJzL2Uyb0RvYy54bWxQSwUGAAAAAAYABgBZAQAA&#10;fgUAAAAA&#10;">
                <v:fill on="f" focussize="0,0"/>
                <v:stroke weight="1.25pt" color="#FF0000" joinstyle="round"/>
                <v:imagedata o:title=""/>
                <o:lock v:ext="edit" aspectratio="f"/>
              </v:line>
            </w:pict>
          </mc:Fallback>
        </mc:AlternateContent>
      </w:r>
    </w:p>
    <w:p>
      <w:pPr>
        <w:spacing w:line="620" w:lineRule="exact"/>
        <w:jc w:val="center"/>
        <w:rPr>
          <w:rFonts w:hint="eastAsia" w:ascii="方正小标宋_GBK" w:hAnsi="方正小标宋_GBK" w:eastAsia="方正小标宋_GBK" w:cs="方正小标宋_GBK"/>
          <w:sz w:val="44"/>
          <w:szCs w:val="44"/>
        </w:rPr>
      </w:pPr>
    </w:p>
    <w:p>
      <w:pPr>
        <w:spacing w:line="62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关于优化住房公积金个人住房贷款</w:t>
      </w:r>
      <w:r>
        <w:rPr>
          <w:rFonts w:hint="eastAsia" w:ascii="方正小标宋_GBK" w:hAnsi="方正小标宋_GBK" w:eastAsia="方正小标宋_GBK" w:cs="方正小标宋_GBK"/>
          <w:sz w:val="44"/>
          <w:szCs w:val="44"/>
          <w:lang w:eastAsia="zh-CN"/>
        </w:rPr>
        <w:t>中</w:t>
      </w:r>
    </w:p>
    <w:p>
      <w:pPr>
        <w:spacing w:line="6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住房套数认定标准的通知</w:t>
      </w:r>
    </w:p>
    <w:p>
      <w:pPr>
        <w:spacing w:line="620" w:lineRule="exact"/>
        <w:jc w:val="center"/>
        <w:rPr>
          <w:rFonts w:hint="eastAsia" w:ascii="方正小标宋_GBK" w:hAnsi="方正小标宋_GBK" w:eastAsia="方正小标宋_GBK" w:cs="方正小标宋_GBK"/>
          <w:sz w:val="44"/>
          <w:szCs w:val="44"/>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各住房公积金缴存人</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住房公积金受委托贷款银行</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eastAsia="zh-CN"/>
        </w:rPr>
        <w:t>直属</w:t>
      </w:r>
      <w:r>
        <w:rPr>
          <w:rFonts w:hint="eastAsia" w:ascii="仿宋_GB2312" w:hAnsi="仿宋_GB2312" w:eastAsia="仿宋_GB2312" w:cs="仿宋_GB2312"/>
          <w:sz w:val="32"/>
          <w:szCs w:val="32"/>
        </w:rPr>
        <w:t>管理局：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为贯彻落实《住房城乡建设部 中国人民银行 金融监管总局关于优化个人住房贷款中住房套数认定标准的通知》（建房〔2023〕52号）精神，更好满足居民刚性和改善性住房需求，现就执行住房公积金个人住房贷款住房套数认定标准有关事项通知如下：</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一、住房套数认定标准</w:t>
      </w:r>
    </w:p>
    <w:p>
      <w:pPr>
        <w:pStyle w:val="6"/>
        <w:numPr>
          <w:ilvl w:val="0"/>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存职工家庭（包括借款申请人、配偶及未成年子女，下同）购买自住住房申请公积金贷款时，家庭成员名下在我省行政区域范围内无成套住房且在全国范围内无公积金贷款使用记录的，所购买的自住住房适用首套住房公积金贷款政策；在我省行政区域范围内已有1套住房或在全国范围内已有1次公积金贷款使用记录的，再次购买的自住住房适用二套住房公积金贷款政策。</w:t>
      </w:r>
    </w:p>
    <w:p>
      <w:pPr>
        <w:numPr>
          <w:ilvl w:val="0"/>
          <w:numId w:val="0"/>
        </w:num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二、住房套数核查标准</w:t>
      </w:r>
    </w:p>
    <w:p>
      <w:pPr>
        <w:ind w:firstLine="640" w:firstLineChars="200"/>
        <w:rPr>
          <w:rFonts w:ascii="仿宋_GB2312" w:hAnsi="仿宋_GB2312" w:eastAsia="仿宋_GB2312" w:cs="仿宋_GB2312"/>
          <w:sz w:val="32"/>
          <w:szCs w:val="32"/>
        </w:rPr>
      </w:pPr>
      <w:r>
        <w:rPr>
          <w:rFonts w:hint="eastAsia" w:ascii="方正楷体_GBK" w:hAnsi="方正楷体_GBK" w:eastAsia="方正楷体_GBK" w:cs="方正楷体_GBK"/>
          <w:sz w:val="32"/>
          <w:szCs w:val="32"/>
        </w:rPr>
        <w:t>（一）</w:t>
      </w:r>
      <w:r>
        <w:rPr>
          <w:rFonts w:hint="eastAsia" w:ascii="仿宋_GB2312" w:hAnsi="仿宋_GB2312" w:eastAsia="仿宋_GB2312" w:cs="仿宋_GB2312"/>
          <w:sz w:val="32"/>
          <w:szCs w:val="32"/>
          <w:lang w:eastAsia="zh-CN"/>
        </w:rPr>
        <w:t>住房</w:t>
      </w:r>
      <w:r>
        <w:rPr>
          <w:rFonts w:hint="eastAsia" w:ascii="仿宋_GB2312" w:hAnsi="仿宋_GB2312" w:eastAsia="仿宋_GB2312" w:cs="仿宋_GB2312"/>
          <w:sz w:val="32"/>
          <w:szCs w:val="32"/>
        </w:rPr>
        <w:t>套数核定以申请公积金贷款时可联网查询不动产和住建部门的住房登记记录为准，住房情况显示用途为“居住用房”或“住宅”的均纳入家庭住房套数计算范围，已注销的除外。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对农村集体土地上修建的住房，提供农村房屋的产权权属证书</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当地房管部门出具的信息摘要等，可不纳入职工家庭购买城镇商品住房套数计算。</w:t>
      </w:r>
    </w:p>
    <w:p>
      <w:pPr>
        <w:numPr>
          <w:ilvl w:val="0"/>
          <w:numId w:val="0"/>
        </w:numPr>
        <w:ind w:firstLine="640" w:firstLineChars="200"/>
        <w:rPr>
          <w:rFonts w:ascii="仿宋_GB2312" w:hAnsi="仿宋_GB2312" w:eastAsia="仿宋_GB2312" w:cs="仿宋_GB2312"/>
          <w:sz w:val="32"/>
          <w:szCs w:val="32"/>
        </w:rPr>
      </w:pPr>
      <w:r>
        <w:rPr>
          <w:rFonts w:hint="eastAsia" w:ascii="方正楷体_GBK" w:hAnsi="方正楷体_GBK" w:eastAsia="方正楷体_GBK" w:cs="方正楷体_GBK"/>
          <w:sz w:val="32"/>
          <w:szCs w:val="32"/>
        </w:rPr>
        <w:t>（二）</w:t>
      </w:r>
      <w:r>
        <w:rPr>
          <w:rFonts w:hint="eastAsia" w:ascii="仿宋_GB2312" w:hAnsi="仿宋_GB2312" w:eastAsia="仿宋_GB2312" w:cs="仿宋_GB2312"/>
          <w:sz w:val="32"/>
          <w:szCs w:val="32"/>
        </w:rPr>
        <w:t>借款人和共同借款人非夫妻关系的，双方本人及配偶、未成年子女名下住房套数合并计算。</w:t>
      </w:r>
    </w:p>
    <w:p>
      <w:pPr>
        <w:pStyle w:val="6"/>
        <w:numPr>
          <w:ilvl w:val="0"/>
          <w:numId w:val="0"/>
        </w:numPr>
        <w:ind w:firstLine="640" w:firstLineChars="200"/>
        <w:rPr>
          <w:rFonts w:ascii="仿宋_GB2312" w:hAnsi="仿宋_GB2312" w:eastAsia="仿宋_GB2312" w:cs="仿宋_GB2312"/>
          <w:sz w:val="32"/>
          <w:szCs w:val="32"/>
        </w:rPr>
      </w:pPr>
      <w:r>
        <w:rPr>
          <w:rFonts w:hint="eastAsia" w:ascii="方正楷体_GBK" w:hAnsi="方正楷体_GBK" w:eastAsia="方正楷体_GBK" w:cs="方正楷体_GBK"/>
          <w:sz w:val="32"/>
          <w:szCs w:val="32"/>
        </w:rPr>
        <w:t>（三）</w:t>
      </w:r>
      <w:r>
        <w:rPr>
          <w:rFonts w:hint="eastAsia" w:ascii="仿宋_GB2312" w:hAnsi="仿宋_GB2312" w:eastAsia="仿宋_GB2312" w:cs="仿宋_GB2312"/>
          <w:sz w:val="32"/>
          <w:szCs w:val="32"/>
        </w:rPr>
        <w:t>缴存职工家庭申请异地贷款同样适用。</w:t>
      </w:r>
    </w:p>
    <w:p>
      <w:pPr>
        <w:numPr>
          <w:ilvl w:val="0"/>
          <w:numId w:val="0"/>
        </w:numPr>
        <w:ind w:left="0"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三、不予贷款情形</w:t>
      </w:r>
    </w:p>
    <w:p>
      <w:pPr>
        <w:numPr>
          <w:ilvl w:val="0"/>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对在海南省行政区域范围内购买第3套（含）</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以上自住住房或在全国范围内已使用过2次（含）</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以上公积金贷款的缴存职工家庭，不予受理公积金贷款。</w:t>
      </w:r>
    </w:p>
    <w:p>
      <w:pPr>
        <w:numPr>
          <w:ilvl w:val="0"/>
          <w:numId w:val="0"/>
        </w:numPr>
        <w:ind w:left="0"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四、“存贷挂钩”政策适用情形</w:t>
      </w:r>
    </w:p>
    <w:p>
      <w:pPr>
        <w:numPr>
          <w:ilvl w:val="0"/>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将《关于“存贷挂钩”政策有关事项的通知》（琼公积金贷〔2021〕31号）规定的“在海南省行政区域内首次购买住房的职工申请贷款的，仍执行原政策”调整为“根据本</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适用首套住房公积金贷款的，仍执行原政策”。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本通知自印发之日起执行，原有政策与本通知不一致的，以本通知为准。</w:t>
      </w:r>
    </w:p>
    <w:p>
      <w:pPr>
        <w:ind w:firstLine="640" w:firstLineChars="200"/>
        <w:rPr>
          <w:rFonts w:ascii="仿宋_GB2312" w:hAnsi="仿宋_GB2312" w:eastAsia="仿宋_GB2312" w:cs="仿宋_GB2312"/>
          <w:sz w:val="32"/>
          <w:szCs w:val="32"/>
        </w:rPr>
      </w:pPr>
    </w:p>
    <w:p>
      <w:pPr>
        <w:ind w:firstLine="640" w:firstLineChars="200"/>
        <w:rPr>
          <w:rFonts w:hint="default" w:ascii="仿宋_GB2312" w:hAnsi="仿宋_GB2312" w:eastAsia="仿宋_GB2312" w:cs="仿宋_GB2312"/>
          <w:sz w:val="32"/>
          <w:szCs w:val="32"/>
          <w:lang w:val="en-US" w:eastAsia="zh"/>
        </w:rPr>
      </w:pP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海南省住房公积金管理局</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2023年11月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jc w:val="left"/>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（此件主动公开）</w:t>
      </w:r>
    </w:p>
    <w:p>
      <w:pPr>
        <w:jc w:val="both"/>
        <w:outlineLvl w:val="0"/>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sz w:val="44"/>
          <w:szCs w:val="44"/>
        </w:rPr>
      </w:pPr>
    </w:p>
    <w:p>
      <w:pPr>
        <w:spacing w:line="620" w:lineRule="exact"/>
        <w:jc w:val="center"/>
        <w:outlineLvl w:val="0"/>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《关于优化住房公积金个人住房贷款</w:t>
      </w:r>
      <w:r>
        <w:rPr>
          <w:rFonts w:hint="eastAsia" w:ascii="方正小标宋_GBK" w:hAnsi="方正小标宋_GBK" w:eastAsia="方正小标宋_GBK" w:cs="方正小标宋_GBK"/>
          <w:sz w:val="44"/>
          <w:szCs w:val="44"/>
          <w:lang w:eastAsia="zh-CN"/>
        </w:rPr>
        <w:t>中</w:t>
      </w:r>
    </w:p>
    <w:p>
      <w:pPr>
        <w:spacing w:line="620" w:lineRule="exact"/>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住房套数认定标准的通知》解读</w:t>
      </w:r>
    </w:p>
    <w:p>
      <w:pPr>
        <w:spacing w:line="620" w:lineRule="exact"/>
        <w:jc w:val="center"/>
        <w:rPr>
          <w:rFonts w:hint="eastAsia" w:ascii="方正小标宋_GBK" w:hAnsi="方正小标宋_GBK" w:eastAsia="方正小标宋_GBK" w:cs="方正小标宋_GBK"/>
          <w:sz w:val="44"/>
          <w:szCs w:val="44"/>
        </w:rPr>
      </w:pPr>
    </w:p>
    <w:p>
      <w:pPr>
        <w:ind w:firstLine="640" w:firstLineChars="200"/>
        <w:rPr>
          <w:rFonts w:hint="eastAsia" w:ascii="仿宋_GB2312" w:hAnsi="仿宋_GB2312" w:eastAsia="仿宋_GB2312" w:cs="仿宋_GB2312"/>
          <w:b/>
          <w:bCs/>
          <w:sz w:val="32"/>
          <w:szCs w:val="32"/>
        </w:rPr>
      </w:pPr>
      <w:r>
        <w:rPr>
          <w:rFonts w:hint="eastAsia" w:ascii="方正黑体_GBK" w:hAnsi="方正黑体_GBK" w:eastAsia="方正黑体_GBK" w:cs="方正黑体_GBK"/>
          <w:b w:val="0"/>
          <w:bCs w:val="0"/>
          <w:sz w:val="32"/>
          <w:szCs w:val="32"/>
        </w:rPr>
        <w:t>一、《关于优化住房公积金个人住房贷款住房套数认定标准的通知》（以下简称“通知”）出台的背景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2023年8月，住房城乡建设部、中国人民银行、金融监管总局</w:t>
      </w:r>
      <w:r>
        <w:rPr>
          <w:rFonts w:hint="eastAsia" w:ascii="仿宋_GB2312" w:hAnsi="仿宋_GB2312" w:eastAsia="仿宋_GB2312" w:cs="仿宋_GB2312"/>
          <w:sz w:val="32"/>
          <w:szCs w:val="32"/>
          <w:lang w:val="en-US" w:eastAsia="zh-CN"/>
        </w:rPr>
        <w:t>联合</w:t>
      </w:r>
      <w:r>
        <w:rPr>
          <w:rFonts w:hint="eastAsia" w:ascii="仿宋_GB2312" w:hAnsi="仿宋_GB2312" w:eastAsia="仿宋_GB2312" w:cs="仿宋_GB2312"/>
          <w:sz w:val="32"/>
          <w:szCs w:val="32"/>
        </w:rPr>
        <w:t>印发《关于优化个人住房贷款中住房套数认定标准的通知》（建房〔2023〕52号），要求执行“认房不认贷”的贷款政策。为贯彻落实该文件精神，体现住房公积金制度的公平性、互助性、普惠性，我局就优化住房公积金个人住房贷款住房套数认定标准起草</w:t>
      </w:r>
      <w:r>
        <w:rPr>
          <w:rFonts w:hint="eastAsia" w:ascii="仿宋_GB2312" w:hAnsi="仿宋_GB2312" w:eastAsia="仿宋_GB2312" w:cs="仿宋_GB2312"/>
          <w:sz w:val="32"/>
          <w:szCs w:val="32"/>
          <w:lang w:eastAsia="zh-CN"/>
        </w:rPr>
        <w:t>《政策解读》和</w:t>
      </w:r>
      <w:r>
        <w:rPr>
          <w:rFonts w:hint="eastAsia" w:ascii="仿宋_GB2312" w:hAnsi="仿宋_GB2312" w:eastAsia="仿宋_GB2312" w:cs="仿宋_GB2312"/>
          <w:sz w:val="32"/>
          <w:szCs w:val="32"/>
        </w:rPr>
        <w:t>《通知》，报</w:t>
      </w:r>
      <w:r>
        <w:rPr>
          <w:rFonts w:hint="eastAsia" w:ascii="仿宋_GB2312" w:hAnsi="仿宋_GB2312" w:eastAsia="仿宋_GB2312" w:cs="仿宋_GB2312"/>
          <w:sz w:val="32"/>
          <w:szCs w:val="32"/>
          <w:lang w:eastAsia="zh-CN"/>
        </w:rPr>
        <w:t>海南住房公积金管理委员会办公室</w:t>
      </w:r>
      <w:r>
        <w:rPr>
          <w:rFonts w:hint="eastAsia" w:ascii="仿宋_GB2312" w:hAnsi="仿宋_GB2312" w:eastAsia="仿宋_GB2312" w:cs="仿宋_GB2312"/>
          <w:sz w:val="32"/>
          <w:szCs w:val="32"/>
        </w:rPr>
        <w:t>备案后印发。</w:t>
      </w:r>
    </w:p>
    <w:p>
      <w:pPr>
        <w:numPr>
          <w:ilvl w:val="0"/>
          <w:numId w:val="1"/>
        </w:num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《通知》出台的目的</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本《通知》的出台，旨在落实住建部相关要求，通过认房不认商贷，支持缴存职工家庭购买刚性和改善性住房需求，优化后使更多购房人能够享受首套住房公积金贷款优惠政策，有助于降低居民购房成本和贷款门槛。</w:t>
      </w: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三、《通知》的主要内容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《通知》主要包含三部分内容。一是明确住房套数和公积金贷款次数认定范围，并对适用首套</w:t>
      </w:r>
      <w:r>
        <w:rPr>
          <w:rFonts w:hint="eastAsia" w:ascii="仿宋_GB2312" w:hAnsi="仿宋_GB2312" w:eastAsia="仿宋_GB2312" w:cs="仿宋_GB2312"/>
          <w:sz w:val="32"/>
          <w:szCs w:val="32"/>
          <w:lang w:eastAsia="zh-CN"/>
        </w:rPr>
        <w:t>房</w:t>
      </w:r>
      <w:r>
        <w:rPr>
          <w:rFonts w:hint="eastAsia" w:ascii="仿宋_GB2312" w:hAnsi="仿宋_GB2312" w:eastAsia="仿宋_GB2312" w:cs="仿宋_GB2312"/>
          <w:sz w:val="32"/>
          <w:szCs w:val="32"/>
        </w:rPr>
        <w:t>及二套</w:t>
      </w:r>
      <w:r>
        <w:rPr>
          <w:rFonts w:hint="eastAsia" w:ascii="仿宋_GB2312" w:hAnsi="仿宋_GB2312" w:eastAsia="仿宋_GB2312" w:cs="仿宋_GB2312"/>
          <w:sz w:val="32"/>
          <w:szCs w:val="32"/>
          <w:lang w:eastAsia="zh-CN"/>
        </w:rPr>
        <w:t>房</w:t>
      </w:r>
      <w:r>
        <w:rPr>
          <w:rFonts w:hint="eastAsia" w:ascii="仿宋_GB2312" w:hAnsi="仿宋_GB2312" w:eastAsia="仿宋_GB2312" w:cs="仿宋_GB2312"/>
          <w:sz w:val="32"/>
          <w:szCs w:val="32"/>
        </w:rPr>
        <w:t>住房公积金贷款政策的住房套数标准予以规定。二是明确对在我省购买第3套及以上自住住房或在全国范围内已使用2次（含）及以上公积金贷款的缴存职工家庭不予受理公积金贷款。三是明确适用首套</w:t>
      </w:r>
      <w:r>
        <w:rPr>
          <w:rFonts w:hint="eastAsia" w:ascii="仿宋_GB2312" w:hAnsi="仿宋_GB2312" w:eastAsia="仿宋_GB2312" w:cs="仿宋_GB2312"/>
          <w:sz w:val="32"/>
          <w:szCs w:val="32"/>
          <w:lang w:eastAsia="zh-CN"/>
        </w:rPr>
        <w:t>房</w:t>
      </w:r>
      <w:r>
        <w:rPr>
          <w:rFonts w:hint="eastAsia" w:ascii="仿宋_GB2312" w:hAnsi="仿宋_GB2312" w:eastAsia="仿宋_GB2312" w:cs="仿宋_GB2312"/>
          <w:sz w:val="32"/>
          <w:szCs w:val="32"/>
        </w:rPr>
        <w:t>住房公积金贷款政策的贷款办理不执行“存贷挂钩”政策。</w:t>
      </w:r>
    </w:p>
    <w:p>
      <w:pPr>
        <w:ind w:left="0"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四、优化后的住房套数认定标准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公积金贷款在住房套数认定上不再考虑商业贷款情况。如借款人家庭（含共同借款人及未成年子女，下同）在海南省行政区域内（以下简称“海南省”）无住房且在全国范围内无住房公积金贷款记录的，执行首套住房公积金贷款政策；如借款人家庭在海南省有1套住房，或在全国范围内有1笔住房公积金贷款记录，执行二套住房公积金贷款政策；如借款人家庭在海南省有2套及以上住房，或已使用过2次住房公积金贷款的，不予受理住房公积金贷款。</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具体标准见下表：</w:t>
      </w:r>
    </w:p>
    <w:tbl>
      <w:tblPr>
        <w:tblStyle w:val="4"/>
        <w:tblW w:w="9250"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6167"/>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序号</w:t>
            </w:r>
          </w:p>
        </w:tc>
        <w:tc>
          <w:tcPr>
            <w:tcW w:w="6167" w:type="dxa"/>
            <w:noWrap w:val="0"/>
            <w:vAlign w:val="top"/>
          </w:tcPr>
          <w:p>
            <w:pPr>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pacing w:val="1"/>
                <w:w w:val="97"/>
                <w:kern w:val="0"/>
                <w:sz w:val="32"/>
                <w:szCs w:val="32"/>
                <w:fitText w:val="5920" w:id="-1115987142"/>
              </w:rPr>
              <w:t>借款人家庭住房情况和住房公积金贷款情</w:t>
            </w:r>
            <w:r>
              <w:rPr>
                <w:rFonts w:hint="eastAsia" w:ascii="方正黑体_GBK" w:hAnsi="方正黑体_GBK" w:eastAsia="方正黑体_GBK" w:cs="方正黑体_GBK"/>
                <w:b w:val="0"/>
                <w:bCs w:val="0"/>
                <w:spacing w:val="9"/>
                <w:w w:val="97"/>
                <w:kern w:val="0"/>
                <w:sz w:val="32"/>
                <w:szCs w:val="32"/>
                <w:fitText w:val="5920" w:id="-1115987142"/>
              </w:rPr>
              <w:t>况</w:t>
            </w:r>
          </w:p>
        </w:tc>
        <w:tc>
          <w:tcPr>
            <w:tcW w:w="2200" w:type="dxa"/>
            <w:noWrap w:val="0"/>
            <w:vAlign w:val="top"/>
          </w:tcPr>
          <w:p>
            <w:pPr>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住房套数认定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883" w:type="dxa"/>
            <w:noWrap w:val="0"/>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p>
        </w:tc>
        <w:tc>
          <w:tcPr>
            <w:tcW w:w="616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本省无住房</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且全国范围内无住房公积金贷款记录</w:t>
            </w:r>
          </w:p>
        </w:tc>
        <w:tc>
          <w:tcPr>
            <w:tcW w:w="220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首套住房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Merge w:val="restart"/>
            <w:noWrap w:val="0"/>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p>
        </w:tc>
        <w:tc>
          <w:tcPr>
            <w:tcW w:w="616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本省有1套住房</w:t>
            </w:r>
          </w:p>
        </w:tc>
        <w:tc>
          <w:tcPr>
            <w:tcW w:w="22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二套住房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83" w:type="dxa"/>
            <w:vMerge w:val="continue"/>
            <w:noWrap w:val="0"/>
            <w:vAlign w:val="center"/>
          </w:tcPr>
          <w:p>
            <w:pPr>
              <w:jc w:val="center"/>
              <w:rPr>
                <w:rFonts w:hint="eastAsia" w:ascii="仿宋_GB2312" w:hAnsi="仿宋_GB2312" w:eastAsia="仿宋_GB2312" w:cs="仿宋_GB2312"/>
                <w:b/>
                <w:bCs/>
                <w:sz w:val="32"/>
                <w:szCs w:val="32"/>
              </w:rPr>
            </w:pPr>
          </w:p>
        </w:tc>
        <w:tc>
          <w:tcPr>
            <w:tcW w:w="616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本省无住房</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但全国范围内有1笔住房公积金贷款记录</w:t>
            </w:r>
          </w:p>
        </w:tc>
        <w:tc>
          <w:tcPr>
            <w:tcW w:w="22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Merge w:val="continue"/>
            <w:noWrap w:val="0"/>
            <w:vAlign w:val="center"/>
          </w:tcPr>
          <w:p>
            <w:pPr>
              <w:jc w:val="center"/>
              <w:rPr>
                <w:rFonts w:hint="eastAsia" w:ascii="仿宋_GB2312" w:hAnsi="仿宋_GB2312" w:eastAsia="仿宋_GB2312" w:cs="仿宋_GB2312"/>
                <w:b/>
                <w:bCs/>
                <w:sz w:val="32"/>
                <w:szCs w:val="32"/>
              </w:rPr>
            </w:pPr>
          </w:p>
        </w:tc>
        <w:tc>
          <w:tcPr>
            <w:tcW w:w="616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本省有1套住房</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且全国范围内有1笔住房公积金贷款记录</w:t>
            </w:r>
          </w:p>
        </w:tc>
        <w:tc>
          <w:tcPr>
            <w:tcW w:w="22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83" w:type="dxa"/>
            <w:vMerge w:val="restart"/>
            <w:noWrap w:val="0"/>
            <w:vAlign w:val="center"/>
          </w:tcPr>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p>
        </w:tc>
        <w:tc>
          <w:tcPr>
            <w:tcW w:w="616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本省有2套</w:t>
            </w:r>
            <w:r>
              <w:rPr>
                <w:rFonts w:hint="eastAsia" w:ascii="仿宋_GB2312" w:hAnsi="仿宋_GB2312" w:eastAsia="仿宋_GB2312" w:cs="仿宋_GB2312"/>
                <w:sz w:val="32"/>
                <w:szCs w:val="32"/>
                <w:lang w:eastAsia="zh-CN"/>
              </w:rPr>
              <w:t>及以上</w:t>
            </w:r>
            <w:r>
              <w:rPr>
                <w:rFonts w:hint="eastAsia" w:ascii="仿宋_GB2312" w:hAnsi="仿宋_GB2312" w:eastAsia="仿宋_GB2312" w:cs="仿宋_GB2312"/>
                <w:sz w:val="32"/>
                <w:szCs w:val="32"/>
              </w:rPr>
              <w:t>住房</w:t>
            </w:r>
          </w:p>
        </w:tc>
        <w:tc>
          <w:tcPr>
            <w:tcW w:w="22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不予办理住房公积金贷款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Merge w:val="continue"/>
            <w:noWrap w:val="0"/>
            <w:vAlign w:val="center"/>
          </w:tcPr>
          <w:p>
            <w:pPr>
              <w:jc w:val="center"/>
              <w:rPr>
                <w:rFonts w:hint="eastAsia" w:ascii="仿宋_GB2312" w:hAnsi="仿宋_GB2312" w:eastAsia="仿宋_GB2312" w:cs="仿宋_GB2312"/>
                <w:sz w:val="32"/>
                <w:szCs w:val="32"/>
              </w:rPr>
            </w:pPr>
          </w:p>
        </w:tc>
        <w:tc>
          <w:tcPr>
            <w:tcW w:w="6167" w:type="dxa"/>
            <w:noWrap w:val="0"/>
            <w:vAlign w:val="top"/>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全国范围内有2笔</w:t>
            </w:r>
            <w:r>
              <w:rPr>
                <w:rFonts w:hint="eastAsia" w:ascii="仿宋_GB2312" w:hAnsi="仿宋_GB2312" w:eastAsia="仿宋_GB2312" w:cs="仿宋_GB2312"/>
                <w:sz w:val="28"/>
                <w:szCs w:val="28"/>
                <w:lang w:eastAsia="zh-CN"/>
              </w:rPr>
              <w:t>及以上</w:t>
            </w:r>
            <w:r>
              <w:rPr>
                <w:rFonts w:hint="eastAsia" w:ascii="仿宋_GB2312" w:hAnsi="仿宋_GB2312" w:eastAsia="仿宋_GB2312" w:cs="仿宋_GB2312"/>
                <w:sz w:val="28"/>
                <w:szCs w:val="28"/>
              </w:rPr>
              <w:t>住房公积金贷款记录</w:t>
            </w:r>
          </w:p>
        </w:tc>
        <w:tc>
          <w:tcPr>
            <w:tcW w:w="2200" w:type="dxa"/>
            <w:vMerge w:val="continue"/>
            <w:noWrap w:val="0"/>
            <w:vAlign w:val="center"/>
          </w:tcPr>
          <w:p>
            <w:pPr>
              <w:jc w:val="center"/>
              <w:rPr>
                <w:rFonts w:hint="eastAsia" w:ascii="仿宋_GB2312" w:hAnsi="仿宋_GB2312" w:eastAsia="仿宋_GB2312" w:cs="仿宋_GB2312"/>
                <w:sz w:val="28"/>
                <w:szCs w:val="28"/>
              </w:rPr>
            </w:pPr>
          </w:p>
        </w:tc>
      </w:tr>
    </w:tbl>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五、本《通知》</w:t>
      </w:r>
      <w:r>
        <w:rPr>
          <w:rFonts w:hint="eastAsia" w:ascii="方正黑体_GBK" w:hAnsi="方正黑体_GBK" w:eastAsia="方正黑体_GBK" w:cs="方正黑体_GBK"/>
          <w:b w:val="0"/>
          <w:bCs w:val="0"/>
          <w:sz w:val="32"/>
          <w:szCs w:val="32"/>
          <w:lang w:eastAsia="zh-CN"/>
        </w:rPr>
        <w:t>对</w:t>
      </w:r>
      <w:r>
        <w:rPr>
          <w:rFonts w:hint="eastAsia" w:ascii="方正黑体_GBK" w:hAnsi="方正黑体_GBK" w:eastAsia="方正黑体_GBK" w:cs="方正黑体_GBK"/>
          <w:b w:val="0"/>
          <w:bCs w:val="0"/>
          <w:sz w:val="32"/>
          <w:szCs w:val="32"/>
        </w:rPr>
        <w:t>2021年6月25日印发《关于“存贷挂钩”政策有关事项的通知》（以下简称“存贷挂钩”政策）</w:t>
      </w:r>
      <w:r>
        <w:rPr>
          <w:rFonts w:hint="eastAsia" w:ascii="方正黑体_GBK" w:hAnsi="方正黑体_GBK" w:eastAsia="方正黑体_GBK" w:cs="方正黑体_GBK"/>
          <w:b w:val="0"/>
          <w:bCs w:val="0"/>
          <w:sz w:val="32"/>
          <w:szCs w:val="32"/>
          <w:lang w:eastAsia="zh-CN"/>
        </w:rPr>
        <w:t>的优化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后的《通知》扩大了住房公积金贷款对象保障范围：原“存贷挂钩”政策中规定，在海南省行政区域内首次购买住房的职工申请贷款的，仍执行原政策。本《通知》优化为首套住房公积金贷款适用原贷款政策，即包括在海南省购买首套住房且未使用过住房公积金贷款的本省和外省缴存职工。</w:t>
      </w:r>
    </w:p>
    <w:p>
      <w:pPr>
        <w:ind w:left="0"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六、其他需要说明的问题</w:t>
      </w:r>
    </w:p>
    <w:p>
      <w:pPr>
        <w:ind w:firstLine="640" w:firstLineChars="200"/>
        <w:rPr>
          <w:rFonts w:ascii="仿宋_GB2312" w:hAnsi="仿宋_GB2312" w:eastAsia="仿宋_GB2312" w:cs="仿宋_GB2312"/>
          <w:sz w:val="32"/>
          <w:szCs w:val="32"/>
        </w:rPr>
      </w:pPr>
      <w:r>
        <w:rPr>
          <w:rFonts w:hint="eastAsia" w:ascii="方正楷体_GBK" w:hAnsi="方正楷体_GBK" w:eastAsia="方正楷体_GBK" w:cs="方正楷体_GBK"/>
          <w:sz w:val="32"/>
          <w:szCs w:val="32"/>
        </w:rPr>
        <w:t>（一）</w:t>
      </w:r>
      <w:r>
        <w:rPr>
          <w:rFonts w:hint="eastAsia" w:ascii="仿宋_GB2312" w:hAnsi="仿宋_GB2312" w:eastAsia="仿宋_GB2312" w:cs="仿宋_GB2312"/>
          <w:sz w:val="32"/>
          <w:szCs w:val="32"/>
        </w:rPr>
        <w:t>缴存职工家庭住房套数认定以海南省住建及不动产部门房屋登记信息系统记录的房屋套数为依据。</w:t>
      </w:r>
    </w:p>
    <w:p>
      <w:pPr>
        <w:ind w:firstLine="640" w:firstLineChars="200"/>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（二）</w:t>
      </w:r>
      <w:r>
        <w:rPr>
          <w:rFonts w:hint="eastAsia" w:ascii="仿宋_GB2312" w:hAnsi="仿宋_GB2312" w:eastAsia="仿宋_GB2312" w:cs="仿宋_GB2312"/>
          <w:sz w:val="32"/>
          <w:szCs w:val="32"/>
        </w:rPr>
        <w:t>缴存职工家庭住房公积金贷款次数以全国住房公积金监管</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eastAsia="zh-CN"/>
        </w:rPr>
        <w:t>共享</w:t>
      </w:r>
      <w:r>
        <w:rPr>
          <w:rFonts w:hint="eastAsia" w:ascii="仿宋_GB2312" w:hAnsi="仿宋_GB2312" w:eastAsia="仿宋_GB2312" w:cs="仿宋_GB2312"/>
          <w:sz w:val="32"/>
          <w:szCs w:val="32"/>
        </w:rPr>
        <w:t>数据为依据。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left="640"/>
        <w:rPr>
          <w:rFonts w:ascii="仿宋_GB2312" w:hAnsi="仿宋_GB2312" w:eastAsia="仿宋_GB2312" w:cs="仿宋_GB2312"/>
          <w:sz w:val="32"/>
          <w:szCs w:val="32"/>
        </w:rPr>
      </w:pPr>
    </w:p>
    <w:p>
      <w:pPr>
        <w:rPr>
          <w:rFonts w:hint="eastAsia" w:ascii="SimHei" w:hAnsi="SimHei" w:eastAsia="SimHei" w:cs="SimHei"/>
          <w:sz w:val="44"/>
          <w:szCs w:val="44"/>
        </w:rPr>
      </w:pPr>
      <w:r>
        <w:rPr>
          <w:rFonts w:hint="eastAsia" w:ascii="SimHei" w:hAnsi="SimHei" w:eastAsia="SimHei" w:cs="SimHei"/>
          <w:sz w:val="44"/>
          <w:szCs w:val="44"/>
        </w:rPr>
        <w:t xml:space="preserve"> </w:t>
      </w:r>
    </w:p>
    <w:p>
      <w:pPr>
        <w:rPr>
          <w:rFonts w:hint="eastAsia" w:ascii="SimHei" w:hAnsi="SimHei" w:eastAsia="SimHei" w:cs="SimHei"/>
          <w:sz w:val="44"/>
          <w:szCs w:val="44"/>
        </w:rPr>
      </w:pPr>
    </w:p>
    <w:p>
      <w:pPr>
        <w:rPr>
          <w:rFonts w:hint="eastAsia" w:ascii="SimHei" w:hAnsi="SimHei" w:eastAsia="SimHei" w:cs="SimHei"/>
          <w:sz w:val="44"/>
          <w:szCs w:val="44"/>
        </w:rPr>
      </w:pPr>
    </w:p>
    <w:p>
      <w:pPr>
        <w:rPr>
          <w:rFonts w:hint="eastAsia" w:ascii="SimHei" w:hAnsi="SimHei" w:eastAsia="SimHei" w:cs="SimHei"/>
          <w:sz w:val="44"/>
          <w:szCs w:val="44"/>
        </w:rPr>
      </w:pPr>
    </w:p>
    <w:p>
      <w:pPr>
        <w:rPr>
          <w:rFonts w:hint="eastAsia" w:ascii="SimHei" w:hAnsi="SimHei" w:eastAsia="SimHei" w:cs="SimHei"/>
          <w:sz w:val="44"/>
          <w:szCs w:val="44"/>
        </w:rPr>
      </w:pPr>
    </w:p>
    <w:p>
      <w:pPr>
        <w:rPr>
          <w:rFonts w:ascii="SimHei" w:hAnsi="SimHei" w:eastAsia="SimHei" w:cs="SimHei"/>
          <w:sz w:val="44"/>
          <w:szCs w:val="44"/>
        </w:rPr>
      </w:pPr>
      <w:r>
        <w:rPr>
          <w:rFonts w:hint="eastAsia" w:ascii="SimHei" w:hAnsi="SimHei" w:eastAsia="SimHei" w:cs="SimHei"/>
          <w:sz w:val="44"/>
          <w:szCs w:val="44"/>
        </w:rPr>
        <w:t xml:space="preserve">  </w:t>
      </w: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pBdr>
          <w:top w:val="single" w:color="auto" w:sz="6" w:space="1"/>
          <w:bottom w:val="single" w:color="auto" w:sz="6" w:space="1"/>
        </w:pBdr>
        <w:ind w:firstLine="280" w:firstLineChars="100"/>
      </w:pPr>
      <w:r>
        <w:rPr>
          <w:rFonts w:hint="eastAsia" w:ascii="仿宋_GB2312" w:hAnsi="仿宋_GB2312" w:eastAsia="仿宋_GB2312" w:cs="仿宋_GB2312"/>
          <w:sz w:val="28"/>
          <w:szCs w:val="28"/>
        </w:rPr>
        <w:t xml:space="preserve">海南省住房公积金管理局办公室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日印发</w:t>
      </w:r>
    </w:p>
    <w:sectPr>
      <w:footerReference r:id="rId3" w:type="default"/>
      <w:pgSz w:w="11906" w:h="16838"/>
      <w:pgMar w:top="1440" w:right="1701" w:bottom="1440" w:left="1701" w:header="851" w:footer="992"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Helvetica">
    <w:altName w:val="Liberation Sans"/>
    <w:panose1 w:val="020B0604020202020204"/>
    <w:charset w:val="00"/>
    <w:family w:val="swiss"/>
    <w:pitch w:val="default"/>
    <w:sig w:usb0="00000000" w:usb1="00000000"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imHei">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ascii="Nimbus Roman No9 L" w:hAnsi="Nimbus Roman No9 L" w:cs="Nimbus Roman No9 L"/>
                              <w:sz w:val="28"/>
                              <w:szCs w:val="28"/>
                            </w:rPr>
                          </w:pPr>
                          <w:r>
                            <w:rPr>
                              <w:rFonts w:ascii="Nimbus Roman No9 L" w:hAnsi="Nimbus Roman No9 L" w:cs="Nimbus Roman No9 L"/>
                              <w:sz w:val="28"/>
                              <w:szCs w:val="28"/>
                            </w:rPr>
                            <w:t xml:space="preserve">— </w:t>
                          </w:r>
                          <w:r>
                            <w:rPr>
                              <w:rFonts w:ascii="Nimbus Roman No9 L" w:hAnsi="Nimbus Roman No9 L" w:cs="Nimbus Roman No9 L"/>
                              <w:sz w:val="28"/>
                              <w:szCs w:val="28"/>
                            </w:rPr>
                            <w:fldChar w:fldCharType="begin"/>
                          </w:r>
                          <w:r>
                            <w:rPr>
                              <w:rFonts w:ascii="Nimbus Roman No9 L" w:hAnsi="Nimbus Roman No9 L" w:cs="Nimbus Roman No9 L"/>
                              <w:sz w:val="28"/>
                              <w:szCs w:val="28"/>
                            </w:rPr>
                            <w:instrText xml:space="preserve"> PAGE  \* MERGEFORMAT </w:instrText>
                          </w:r>
                          <w:r>
                            <w:rPr>
                              <w:rFonts w:ascii="Nimbus Roman No9 L" w:hAnsi="Nimbus Roman No9 L" w:cs="Nimbus Roman No9 L"/>
                              <w:sz w:val="28"/>
                              <w:szCs w:val="28"/>
                            </w:rPr>
                            <w:fldChar w:fldCharType="separate"/>
                          </w:r>
                          <w:r>
                            <w:rPr>
                              <w:rFonts w:ascii="Nimbus Roman No9 L" w:hAnsi="Nimbus Roman No9 L" w:cs="Nimbus Roman No9 L"/>
                              <w:sz w:val="28"/>
                              <w:szCs w:val="28"/>
                            </w:rPr>
                            <w:t>1</w:t>
                          </w:r>
                          <w:r>
                            <w:rPr>
                              <w:rFonts w:ascii="Nimbus Roman No9 L" w:hAnsi="Nimbus Roman No9 L" w:cs="Nimbus Roman No9 L"/>
                              <w:sz w:val="28"/>
                              <w:szCs w:val="28"/>
                            </w:rPr>
                            <w:fldChar w:fldCharType="end"/>
                          </w:r>
                          <w:r>
                            <w:rPr>
                              <w:rFonts w:ascii="Nimbus Roman No9 L" w:hAnsi="Nimbus Roman No9 L" w:cs="Nimbus Roman No9 L"/>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aXn8jHAQAAewMAAA4AAAAAAAAA&#10;AQAgAAAANAEAAGRycy9lMm9Eb2MueG1sUEsFBgAAAAAGAAYAWQEAAG0FAAAAAA==&#10;">
              <v:fill on="f" focussize="0,0"/>
              <v:stroke on="f"/>
              <v:imagedata o:title=""/>
              <o:lock v:ext="edit" aspectratio="f"/>
              <v:textbox inset="0mm,0mm,0mm,0mm" style="mso-fit-shape-to-text:t;">
                <w:txbxContent>
                  <w:p>
                    <w:pPr>
                      <w:pStyle w:val="2"/>
                      <w:rPr>
                        <w:rFonts w:ascii="Nimbus Roman No9 L" w:hAnsi="Nimbus Roman No9 L" w:cs="Nimbus Roman No9 L"/>
                        <w:sz w:val="28"/>
                        <w:szCs w:val="28"/>
                      </w:rPr>
                    </w:pPr>
                    <w:r>
                      <w:rPr>
                        <w:rFonts w:ascii="Nimbus Roman No9 L" w:hAnsi="Nimbus Roman No9 L" w:cs="Nimbus Roman No9 L"/>
                        <w:sz w:val="28"/>
                        <w:szCs w:val="28"/>
                      </w:rPr>
                      <w:t xml:space="preserve">— </w:t>
                    </w:r>
                    <w:r>
                      <w:rPr>
                        <w:rFonts w:ascii="Nimbus Roman No9 L" w:hAnsi="Nimbus Roman No9 L" w:cs="Nimbus Roman No9 L"/>
                        <w:sz w:val="28"/>
                        <w:szCs w:val="28"/>
                      </w:rPr>
                      <w:fldChar w:fldCharType="begin"/>
                    </w:r>
                    <w:r>
                      <w:rPr>
                        <w:rFonts w:ascii="Nimbus Roman No9 L" w:hAnsi="Nimbus Roman No9 L" w:cs="Nimbus Roman No9 L"/>
                        <w:sz w:val="28"/>
                        <w:szCs w:val="28"/>
                      </w:rPr>
                      <w:instrText xml:space="preserve"> PAGE  \* MERGEFORMAT </w:instrText>
                    </w:r>
                    <w:r>
                      <w:rPr>
                        <w:rFonts w:ascii="Nimbus Roman No9 L" w:hAnsi="Nimbus Roman No9 L" w:cs="Nimbus Roman No9 L"/>
                        <w:sz w:val="28"/>
                        <w:szCs w:val="28"/>
                      </w:rPr>
                      <w:fldChar w:fldCharType="separate"/>
                    </w:r>
                    <w:r>
                      <w:rPr>
                        <w:rFonts w:ascii="Nimbus Roman No9 L" w:hAnsi="Nimbus Roman No9 L" w:cs="Nimbus Roman No9 L"/>
                        <w:sz w:val="28"/>
                        <w:szCs w:val="28"/>
                      </w:rPr>
                      <w:t>1</w:t>
                    </w:r>
                    <w:r>
                      <w:rPr>
                        <w:rFonts w:ascii="Nimbus Roman No9 L" w:hAnsi="Nimbus Roman No9 L" w:cs="Nimbus Roman No9 L"/>
                        <w:sz w:val="28"/>
                        <w:szCs w:val="28"/>
                      </w:rPr>
                      <w:fldChar w:fldCharType="end"/>
                    </w:r>
                    <w:r>
                      <w:rPr>
                        <w:rFonts w:ascii="Nimbus Roman No9 L" w:hAnsi="Nimbus Roman No9 L" w:cs="Nimbus Roman No9 L"/>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F3239"/>
    <w:multiLevelType w:val="singleLevel"/>
    <w:tmpl w:val="FF7F323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4C763"/>
    <w:rsid w:val="2E9B73AD"/>
    <w:rsid w:val="35F35DD2"/>
    <w:rsid w:val="3DF77EC4"/>
    <w:rsid w:val="4F3F7123"/>
    <w:rsid w:val="52F59959"/>
    <w:rsid w:val="5777ED69"/>
    <w:rsid w:val="57DFBB43"/>
    <w:rsid w:val="5CF73DF2"/>
    <w:rsid w:val="5EBA0A77"/>
    <w:rsid w:val="5EFB9DB8"/>
    <w:rsid w:val="6BFF39E0"/>
    <w:rsid w:val="6EFC04AB"/>
    <w:rsid w:val="765B4F0B"/>
    <w:rsid w:val="76FBC27B"/>
    <w:rsid w:val="772EEB7B"/>
    <w:rsid w:val="773DB800"/>
    <w:rsid w:val="7BFF9723"/>
    <w:rsid w:val="7ED7F542"/>
    <w:rsid w:val="7EFF3E10"/>
    <w:rsid w:val="7EFF77CD"/>
    <w:rsid w:val="7F7F4E2E"/>
    <w:rsid w:val="7FDF259A"/>
    <w:rsid w:val="7FEF3455"/>
    <w:rsid w:val="7FF57A86"/>
    <w:rsid w:val="97BEC059"/>
    <w:rsid w:val="9F6F516C"/>
    <w:rsid w:val="AA6F73F4"/>
    <w:rsid w:val="AFBF5A99"/>
    <w:rsid w:val="B5AEC984"/>
    <w:rsid w:val="B7FF647F"/>
    <w:rsid w:val="BF6F81ED"/>
    <w:rsid w:val="CFBB8DED"/>
    <w:rsid w:val="CFCBFFC1"/>
    <w:rsid w:val="DBDF24E7"/>
    <w:rsid w:val="DF72DADB"/>
    <w:rsid w:val="EED753A5"/>
    <w:rsid w:val="EEDF0EB4"/>
    <w:rsid w:val="F2EE96F8"/>
    <w:rsid w:val="F376A9EE"/>
    <w:rsid w:val="F97F6E3B"/>
    <w:rsid w:val="F9AF744B"/>
    <w:rsid w:val="FB9C761F"/>
    <w:rsid w:val="FBB9A724"/>
    <w:rsid w:val="FD063E64"/>
    <w:rsid w:val="FEDDB454"/>
    <w:rsid w:val="FF331ED9"/>
    <w:rsid w:val="FF7B30EF"/>
    <w:rsid w:val="FF7B413A"/>
    <w:rsid w:val="FF7D8D74"/>
    <w:rsid w:val="FF7FFDE1"/>
    <w:rsid w:val="FFA26469"/>
    <w:rsid w:val="FFB7BF44"/>
    <w:rsid w:val="FFCDB1F4"/>
    <w:rsid w:val="FFEA9F71"/>
    <w:rsid w:val="FFFFC2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3.66666666666667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2023-11-11T17:03:54Z</dcterms:created>
  <dc:creator>lenovo</dc:creator>
  <cp:lastModifiedBy>陈希冠</cp:lastModifiedBy>
  <dcterms:modified xsi:type="dcterms:W3CDTF">2023-11-10T18:14:54Z</dcterms:modified>
  <dc:title>关于优化住房公积金个人住房贷款中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