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/>
          <w:b/>
          <w:sz w:val="52"/>
          <w:szCs w:val="44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52"/>
          <w:szCs w:val="44"/>
        </w:rPr>
      </w:pPr>
    </w:p>
    <w:p>
      <w:pPr>
        <w:spacing w:line="2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2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color w:val="FF0000"/>
          <w:spacing w:val="227"/>
          <w:sz w:val="68"/>
          <w:szCs w:val="44"/>
        </w:rPr>
      </w:pPr>
      <w:r>
        <w:rPr>
          <w:rFonts w:hint="eastAsia" w:ascii="宋体" w:hAnsi="宋体"/>
          <w:b/>
          <w:bCs/>
          <w:color w:val="FF0000"/>
          <w:spacing w:val="227"/>
          <w:sz w:val="68"/>
          <w:szCs w:val="44"/>
        </w:rPr>
        <w:pict>
          <v:shape id="_x0000_i1025" o:spt="136" type="#_x0000_t136" style="height:60pt;width:359.9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海南省住房公积金管理局文件" style="font-family:方正小标宋_GBK;font-size:42pt;font-weight:bold;v-text-align:center;v-text-spacing:78643f;"/>
            <w10:wrap type="none"/>
            <w10:anchorlock/>
          </v:shape>
        </w:pict>
      </w:r>
    </w:p>
    <w:p>
      <w:pPr>
        <w:widowControl/>
        <w:autoSpaceDE w:val="0"/>
        <w:spacing w:line="140" w:lineRule="exact"/>
        <w:ind w:firstLine="645"/>
        <w:outlineLvl w:val="0"/>
        <w:rPr>
          <w:rFonts w:hint="eastAsia" w:hAnsi="Arial Unicode MS" w:cs="Helvetica"/>
          <w:color w:val="000000"/>
          <w:sz w:val="30"/>
          <w:szCs w:val="32"/>
        </w:rPr>
      </w:pPr>
      <w:r>
        <w:rPr>
          <w:rFonts w:hint="eastAsia" w:hAnsi="Arial Unicode MS" w:cs="Helvetica"/>
          <w:color w:val="000000"/>
          <w:sz w:val="30"/>
          <w:szCs w:val="32"/>
        </w:rPr>
        <w:t xml:space="preserve">  </w:t>
      </w:r>
    </w:p>
    <w:p>
      <w:pPr>
        <w:widowControl/>
        <w:autoSpaceDE w:val="0"/>
        <w:spacing w:line="600" w:lineRule="exact"/>
        <w:ind w:firstLine="645"/>
        <w:outlineLvl w:val="0"/>
        <w:rPr>
          <w:rFonts w:hint="eastAsia" w:hAnsi="Arial Unicode MS" w:cs="Helvetica"/>
          <w:color w:val="000000"/>
          <w:sz w:val="30"/>
          <w:szCs w:val="32"/>
        </w:rPr>
      </w:pPr>
    </w:p>
    <w:p>
      <w:pPr>
        <w:widowControl/>
        <w:autoSpaceDE w:val="0"/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color w:val="FFFFFF"/>
          <w:sz w:val="30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琼公积金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贷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widowControl/>
        <w:autoSpaceDE w:val="0"/>
        <w:spacing w:line="520" w:lineRule="exact"/>
        <w:ind w:firstLine="645"/>
        <w:outlineLvl w:val="0"/>
        <w:rPr>
          <w:spacing w:val="211"/>
          <w:sz w:val="80"/>
        </w:rPr>
      </w:pPr>
      <w:r>
        <w:rPr>
          <w:spacing w:val="211"/>
          <w:sz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5600700" cy="0"/>
                <wp:effectExtent l="0" t="7620" r="0" b="825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9pt;margin-top:9.8pt;height:0pt;width:441pt;z-index:251659264;mso-width-relative:page;mso-height-relative:page;" filled="f" stroked="t" coordsize="21600,21600" o:gfxdata="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NavkXW&#10;AAAACQEAAA8AAAAAAAAAAQAgAAAAIgAAAGRycy9kb3ducmV2LnhtbFBLAQIUABQAAAAIAIdO4kA4&#10;1r5V6QEAANwDAAAOAAAAAAAAAAEAIAAAACUBAABkcnMvZTJvRG9jLnhtbFBLBQYAAAAABgAGAFkB&#10;AACA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关于调整首套住房公积金个人住房贷款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最低首付比例的通知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住房公积金各缴存人：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促进我省房地产市场平稳健康发展，根据《海南省市场利率定价自律机制调整海口市等11个市县差别化住房信贷政策》精神，配套执行我省差别化住房信贷政策，更好满足居民刚性和改善性住房需求，现就调整首套住房公积金个人住房贷款最低首付比例内容通知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对于缴存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家庭（包括借款申请人、配偶及未成年子女）贷款购买新建自住住房，属首套住房公积金个人住房贷款的，最低首付比例由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20%。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本通知自印发之日起执行。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right="420" w:right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海南省住房公积金管理局</w:t>
      </w:r>
    </w:p>
    <w:p>
      <w:pPr>
        <w:ind w:right="840" w:rightChars="4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2024年2月19日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《关于调整首套住房公积金个人住房贷款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最低首付比例的通知》解读</w:t>
      </w:r>
    </w:p>
    <w:p>
      <w:pPr>
        <w:numPr>
          <w:ilvl w:val="0"/>
          <w:numId w:val="0"/>
        </w:numPr>
        <w:spacing w:line="660" w:lineRule="exact"/>
        <w:ind w:firstLine="0"/>
        <w:jc w:val="center"/>
        <w:rPr>
          <w:rFonts w:hint="eastAsia" w:ascii="黑体" w:hAnsi="黑体" w:eastAsia="黑体" w:cs="黑体"/>
          <w:sz w:val="44"/>
          <w:szCs w:val="44"/>
          <w:highlight w:val="none"/>
          <w:lang w:eastAsia="zh-CN"/>
        </w:rPr>
      </w:pPr>
    </w:p>
    <w:p>
      <w:pPr>
        <w:numPr>
          <w:ilvl w:val="0"/>
          <w:numId w:val="0"/>
        </w:numPr>
        <w:spacing w:line="6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一、《通知》的出台背景和依据</w:t>
      </w:r>
    </w:p>
    <w:p>
      <w:pPr>
        <w:numPr>
          <w:ilvl w:val="0"/>
          <w:numId w:val="0"/>
        </w:numPr>
        <w:spacing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2024年2月，根据《海南省市场利率定价自律机制调整海口市等11市县差别化住房信贷政策》（以下简称《信贷政策》）精神，海口市等11个地区首套住房商业贷款最低首付比例调整为20%，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为配套落实差别化住房信贷政策，</w:t>
      </w:r>
      <w:r>
        <w:rPr>
          <w:rFonts w:hint="eastAsia" w:ascii="仿宋_GB2312" w:hAnsi="仿宋_GB2312" w:eastAsia="仿宋_GB2312" w:cs="仿宋_GB2312"/>
          <w:sz w:val="32"/>
          <w:szCs w:val="32"/>
        </w:rPr>
        <w:t>更好满足居民刚性和改善性住房需求，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保障我省房地产市场平稳健康发展，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我局印发通知调整首套住房公积金个人住房贷款最低首付比例。</w:t>
      </w:r>
    </w:p>
    <w:p>
      <w:pPr>
        <w:pStyle w:val="6"/>
        <w:numPr>
          <w:ilvl w:val="0"/>
          <w:numId w:val="0"/>
        </w:numPr>
        <w:spacing w:line="640" w:lineRule="exact"/>
        <w:ind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二、住房套数认定标准</w:t>
      </w:r>
    </w:p>
    <w:p>
      <w:pPr>
        <w:numPr>
          <w:ilvl w:val="0"/>
          <w:numId w:val="0"/>
        </w:numPr>
        <w:spacing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缴存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家庭（包括借款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人、配偶及未成年子女，下同）购买自住住房申请公积金贷款时，家庭成员名下在我省行政区域范围内无成套住房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且在全国范围内无公积金贷款使用记录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的，所购买的自住住房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适用首套住房公积金贷款政策；在我省行政区域范围内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已有1套住房或在全国范围内已有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1次公积金贷款使用记录的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，再次购买的自住住房适用二套住房公积金贷款政策。</w:t>
      </w:r>
    </w:p>
    <w:p>
      <w:pPr>
        <w:pStyle w:val="6"/>
        <w:numPr>
          <w:ilvl w:val="0"/>
          <w:numId w:val="0"/>
        </w:numPr>
        <w:spacing w:line="640" w:lineRule="exact"/>
        <w:ind w:left="0"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三、购新建自住住房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二套住房公积金贷款最低首付比例</w:t>
      </w: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购新建自住住房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二套住房公积金贷款最低首付比例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30%，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维持不变。</w:t>
      </w: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Bdr>
          <w:bottom w:val="single" w:color="auto" w:sz="6" w:space="1"/>
        </w:pBd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Bdr>
          <w:bottom w:val="single" w:color="auto" w:sz="6" w:space="1"/>
        </w:pBd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抄送：各住房公积金受委托银行、各住房公积金直属管理局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Bdr>
          <w:top w:val="single" w:color="auto" w:sz="6" w:space="1"/>
          <w:bottom w:val="single" w:color="auto" w:sz="6" w:space="1"/>
        </w:pBdr>
        <w:ind w:firstLine="280" w:firstLineChars="1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海南省住房公积金管理局办公室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87" w:bottom="1984" w:left="1587" w:header="851" w:footer="992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-266700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2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KBoY7TAAAACAEAAA8AAAAAAAAA&#10;AQAgAAAAIgAAAGRycy9kb3ducmV2LnhtbFBLAQIUABQAAAAIAIdO4kCaJuXR3QEAAL4DAAAOAAAA&#10;AAAAAAEAIAAAACI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</w:pP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725F9"/>
    <w:rsid w:val="0EC44FC5"/>
    <w:rsid w:val="14EC3A81"/>
    <w:rsid w:val="1F7F2684"/>
    <w:rsid w:val="2DE12021"/>
    <w:rsid w:val="2FBFC245"/>
    <w:rsid w:val="37FF6494"/>
    <w:rsid w:val="3C3D4DC9"/>
    <w:rsid w:val="3C7F4650"/>
    <w:rsid w:val="5B7ECB08"/>
    <w:rsid w:val="5BF5C998"/>
    <w:rsid w:val="637FC764"/>
    <w:rsid w:val="67FD8720"/>
    <w:rsid w:val="69F9E373"/>
    <w:rsid w:val="6F510914"/>
    <w:rsid w:val="6F7F5EF4"/>
    <w:rsid w:val="6FBDC9D2"/>
    <w:rsid w:val="7373968F"/>
    <w:rsid w:val="77DC629E"/>
    <w:rsid w:val="77F50E1B"/>
    <w:rsid w:val="787E122A"/>
    <w:rsid w:val="7BF72F9C"/>
    <w:rsid w:val="7BFF30CA"/>
    <w:rsid w:val="7DED8B41"/>
    <w:rsid w:val="7DEE52A2"/>
    <w:rsid w:val="7DFEFA62"/>
    <w:rsid w:val="7DFF2BBD"/>
    <w:rsid w:val="7EF52099"/>
    <w:rsid w:val="7FA99060"/>
    <w:rsid w:val="7FC6CC64"/>
    <w:rsid w:val="7FEE30FF"/>
    <w:rsid w:val="94FF8535"/>
    <w:rsid w:val="B5EF7B50"/>
    <w:rsid w:val="BBF3D3C9"/>
    <w:rsid w:val="BFFC8D4E"/>
    <w:rsid w:val="BFFF45FD"/>
    <w:rsid w:val="BFFFB3A4"/>
    <w:rsid w:val="CFB0B697"/>
    <w:rsid w:val="D57E846A"/>
    <w:rsid w:val="DAF3E2AA"/>
    <w:rsid w:val="E363520A"/>
    <w:rsid w:val="E5DFBA4B"/>
    <w:rsid w:val="E77C1268"/>
    <w:rsid w:val="EBFD0679"/>
    <w:rsid w:val="EDFDC81C"/>
    <w:rsid w:val="EEFB5DE5"/>
    <w:rsid w:val="EFFD792B"/>
    <w:rsid w:val="EFFF7301"/>
    <w:rsid w:val="F6FFCBD9"/>
    <w:rsid w:val="F7D3B107"/>
    <w:rsid w:val="F7DE42EA"/>
    <w:rsid w:val="F916461B"/>
    <w:rsid w:val="F9774E92"/>
    <w:rsid w:val="FBEB6AE4"/>
    <w:rsid w:val="FC5E732A"/>
    <w:rsid w:val="FCFFDCF4"/>
    <w:rsid w:val="FD920A75"/>
    <w:rsid w:val="FE0EFAD0"/>
    <w:rsid w:val="FEEF799B"/>
    <w:rsid w:val="FEF85D34"/>
    <w:rsid w:val="FFBBC240"/>
    <w:rsid w:val="FFEEBF4B"/>
    <w:rsid w:val="FFF6A670"/>
    <w:rsid w:val="FFFD0442"/>
    <w:rsid w:val="FFFFA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2024-02-20T18:25:02Z</dcterms:created>
  <dc:creator>lenovo</dc:creator>
  <cp:lastModifiedBy>NeoChen</cp:lastModifiedBy>
  <cp:lastPrinted>2024-02-19T23:20:26Z</cp:lastPrinted>
  <dcterms:modified xsi:type="dcterms:W3CDTF">2024-02-19T13:23:26Z</dcterms:modified>
  <dc:title>关于调整首套住房公积金个人住房贷款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A4D59748F1EE4B078EFD655BAB2418A7_13</vt:lpwstr>
  </property>
</Properties>
</file>